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 w:val="left" w:pos="2520"/>
        </w:tabs>
        <w:spacing w:after="0" w:before="0" w:line="240" w:lineRule="auto"/>
        <w:ind w:left="0" w:right="0" w:firstLine="0"/>
        <w:jc w:val="right"/>
        <w:rPr>
          <w:rFonts w:ascii="Arial" w:cs="Arial" w:eastAsia="Arial" w:hAnsi="Arial"/>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tabs>
          <w:tab w:val="left" w:pos="1122"/>
        </w:tabs>
        <w:spacing w:line="276" w:lineRule="auto"/>
        <w:jc w:val="both"/>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3">
      <w:pPr>
        <w:tabs>
          <w:tab w:val="left" w:pos="1122"/>
        </w:tabs>
        <w:spacing w:line="276" w:lineRule="auto"/>
        <w:jc w:val="right"/>
        <w:rPr>
          <w:rFonts w:ascii="Arial" w:cs="Arial" w:eastAsia="Arial" w:hAnsi="Arial"/>
          <w:b w:val="1"/>
          <w:smallCaps w:val="1"/>
          <w:sz w:val="22"/>
          <w:szCs w:val="22"/>
        </w:rPr>
      </w:pPr>
      <w:r w:rsidDel="00000000" w:rsidR="00000000" w:rsidRPr="00000000">
        <w:rPr>
          <w:rFonts w:ascii="Arial" w:cs="Arial" w:eastAsia="Arial" w:hAnsi="Arial"/>
          <w:b w:val="1"/>
          <w:smallCaps w:val="1"/>
          <w:sz w:val="22"/>
          <w:szCs w:val="22"/>
          <w:rtl w:val="0"/>
        </w:rPr>
        <w:t xml:space="preserve">Dirección de Estado Abierto, Estudios y Evaluación</w:t>
      </w:r>
    </w:p>
    <w:p w:rsidR="00000000" w:rsidDel="00000000" w:rsidP="00000000" w:rsidRDefault="00000000" w:rsidRPr="00000000" w14:paraId="00000004">
      <w:pPr>
        <w:tabs>
          <w:tab w:val="left" w:pos="1122"/>
        </w:tabs>
        <w:spacing w:line="276" w:lineRule="auto"/>
        <w:jc w:val="right"/>
        <w:rPr>
          <w:rFonts w:ascii="Arial" w:cs="Arial" w:eastAsia="Arial" w:hAnsi="Arial"/>
          <w:b w:val="1"/>
          <w:smallCaps w:val="1"/>
          <w:sz w:val="22"/>
          <w:szCs w:val="22"/>
        </w:rPr>
      </w:pPr>
      <w:r w:rsidDel="00000000" w:rsidR="00000000" w:rsidRPr="00000000">
        <w:rPr>
          <w:rFonts w:ascii="Arial" w:cs="Arial" w:eastAsia="Arial" w:hAnsi="Arial"/>
          <w:b w:val="1"/>
          <w:smallCaps w:val="1"/>
          <w:sz w:val="22"/>
          <w:szCs w:val="22"/>
          <w:rtl w:val="0"/>
        </w:rPr>
        <w:t xml:space="preserve">Ciudad de México a 3 de septiembre de 2020</w:t>
      </w:r>
    </w:p>
    <w:p w:rsidR="00000000" w:rsidDel="00000000" w:rsidP="00000000" w:rsidRDefault="00000000" w:rsidRPr="00000000" w14:paraId="00000005">
      <w:pPr>
        <w:tabs>
          <w:tab w:val="left" w:pos="1122"/>
        </w:tabs>
        <w:spacing w:line="276" w:lineRule="auto"/>
        <w:jc w:val="both"/>
        <w:rPr>
          <w:rFonts w:ascii="Arial" w:cs="Arial" w:eastAsia="Arial" w:hAnsi="Arial"/>
          <w:b w:val="1"/>
          <w:smallCaps w:val="1"/>
          <w:sz w:val="22"/>
          <w:szCs w:val="22"/>
        </w:rPr>
      </w:pPr>
      <w:r w:rsidDel="00000000" w:rsidR="00000000" w:rsidRPr="00000000">
        <w:rPr>
          <w:rtl w:val="0"/>
        </w:rPr>
      </w:r>
    </w:p>
    <w:p w:rsidR="00000000" w:rsidDel="00000000" w:rsidP="00000000" w:rsidRDefault="00000000" w:rsidRPr="00000000" w14:paraId="00000006">
      <w:pPr>
        <w:jc w:val="center"/>
        <w:rPr>
          <w:rFonts w:ascii="Arial" w:cs="Arial" w:eastAsia="Arial" w:hAnsi="Arial"/>
          <w:b w:val="1"/>
        </w:rPr>
      </w:pPr>
      <w:bookmarkStart w:colFirst="0" w:colLast="0" w:name="_heading=h.gjdgxs" w:id="0"/>
      <w:bookmarkEnd w:id="0"/>
      <w:r w:rsidDel="00000000" w:rsidR="00000000" w:rsidRPr="00000000">
        <w:rPr>
          <w:rFonts w:ascii="Arial" w:cs="Arial" w:eastAsia="Arial" w:hAnsi="Arial"/>
          <w:b w:val="1"/>
          <w:rtl w:val="0"/>
        </w:rPr>
        <w:t xml:space="preserve">Criterios para la selección de las solicitudes de información que integran las</w:t>
      </w:r>
    </w:p>
    <w:p w:rsidR="00000000" w:rsidDel="00000000" w:rsidP="00000000" w:rsidRDefault="00000000" w:rsidRPr="00000000" w14:paraId="00000007">
      <w:pPr>
        <w:jc w:val="center"/>
        <w:rPr>
          <w:rFonts w:ascii="Arial" w:cs="Arial" w:eastAsia="Arial" w:hAnsi="Arial"/>
          <w:b w:val="1"/>
        </w:rPr>
      </w:pPr>
      <w:r w:rsidDel="00000000" w:rsidR="00000000" w:rsidRPr="00000000">
        <w:rPr>
          <w:rFonts w:ascii="Arial" w:cs="Arial" w:eastAsia="Arial" w:hAnsi="Arial"/>
          <w:b w:val="1"/>
          <w:rtl w:val="0"/>
        </w:rPr>
        <w:t xml:space="preserve">Bases de datos sobre la Reconstrucción</w:t>
      </w:r>
    </w:p>
    <w:p w:rsidR="00000000" w:rsidDel="00000000" w:rsidP="00000000" w:rsidRDefault="00000000" w:rsidRPr="00000000" w14:paraId="00000008">
      <w:pPr>
        <w:spacing w:after="160" w:line="360"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09">
      <w:pPr>
        <w:spacing w:after="160" w:line="276" w:lineRule="auto"/>
        <w:jc w:val="both"/>
        <w:rPr>
          <w:rFonts w:ascii="Arial" w:cs="Arial" w:eastAsia="Arial" w:hAnsi="Arial"/>
        </w:rPr>
      </w:pPr>
      <w:r w:rsidDel="00000000" w:rsidR="00000000" w:rsidRPr="00000000">
        <w:rPr>
          <w:rFonts w:ascii="Arial" w:cs="Arial" w:eastAsia="Arial" w:hAnsi="Arial"/>
          <w:rtl w:val="0"/>
        </w:rPr>
        <w:t xml:space="preserve">Se revisaron las solicitudes de información pública realizadas a través del sistema INFOMEX, y recopiladas en el Sistema de Captura de Reportes Estadísticos de Solicitudes de Información (SICRESI) del Instituto Transparencia, Acceso a la Información Pública, Protección de Datos Personales y Rendición de Cuentas de la Ciudad de México (InfoCDMX). </w:t>
      </w:r>
    </w:p>
    <w:p w:rsidR="00000000" w:rsidDel="00000000" w:rsidP="00000000" w:rsidRDefault="00000000" w:rsidRPr="00000000" w14:paraId="0000000A">
      <w:pPr>
        <w:spacing w:after="160" w:line="276" w:lineRule="auto"/>
        <w:jc w:val="both"/>
        <w:rPr>
          <w:rFonts w:ascii="Arial" w:cs="Arial" w:eastAsia="Arial" w:hAnsi="Arial"/>
        </w:rPr>
      </w:pPr>
      <w:r w:rsidDel="00000000" w:rsidR="00000000" w:rsidRPr="00000000">
        <w:rPr>
          <w:rFonts w:ascii="Arial" w:cs="Arial" w:eastAsia="Arial" w:hAnsi="Arial"/>
          <w:rtl w:val="0"/>
        </w:rPr>
        <w:t xml:space="preserve">Se utilizó el SICRESI y no directamente el INFOMEX, porque el primero ofrece información sociodemográfica y detallada sobre el estatus y medios de respuesta y notificación que se solicita para los reportes trimestrales el InfoCDMX.</w:t>
      </w:r>
    </w:p>
    <w:p w:rsidR="00000000" w:rsidDel="00000000" w:rsidP="00000000" w:rsidRDefault="00000000" w:rsidRPr="00000000" w14:paraId="0000000B">
      <w:pPr>
        <w:spacing w:line="276" w:lineRule="auto"/>
        <w:jc w:val="both"/>
        <w:rPr>
          <w:rFonts w:ascii="Arial" w:cs="Arial" w:eastAsia="Arial" w:hAnsi="Arial"/>
        </w:rPr>
      </w:pPr>
      <w:r w:rsidDel="00000000" w:rsidR="00000000" w:rsidRPr="00000000">
        <w:rPr>
          <w:rFonts w:ascii="Arial" w:cs="Arial" w:eastAsia="Arial" w:hAnsi="Arial"/>
          <w:rtl w:val="0"/>
        </w:rPr>
        <w:t xml:space="preserve">Del total de sujetos obligados, se seleccionaron 27 que recibieron solicitudes de información pública vinculada al tema de los sismos entre septiembre de 2017 y diciembre de 2019. Cabe señalar que algunos de estos sujetos obligados cambiaron de denominación durante el periodo analizado, por ejemplo, las delegaciones se convirtieron en alcaldías y la Comisión para la Reconstrucción, Recuperación y Transformación de la Ciudad de México, en una CDMX cada vez más Resiliente se transformó en la Comisión para la Reconstrucción. </w:t>
      </w:r>
    </w:p>
    <w:p w:rsidR="00000000" w:rsidDel="00000000" w:rsidP="00000000" w:rsidRDefault="00000000" w:rsidRPr="00000000" w14:paraId="0000000C">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D">
      <w:pPr>
        <w:spacing w:line="276" w:lineRule="auto"/>
        <w:jc w:val="both"/>
        <w:rPr>
          <w:rFonts w:ascii="Arial" w:cs="Arial" w:eastAsia="Arial" w:hAnsi="Arial"/>
        </w:rPr>
      </w:pPr>
      <w:r w:rsidDel="00000000" w:rsidR="00000000" w:rsidRPr="00000000">
        <w:rPr>
          <w:rFonts w:ascii="Arial" w:cs="Arial" w:eastAsia="Arial" w:hAnsi="Arial"/>
          <w:rtl w:val="0"/>
        </w:rPr>
        <w:t xml:space="preserve">Los sujetos obligados de los cuales se extrajeron las solicitudes son los siguientes:</w:t>
      </w:r>
    </w:p>
    <w:p w:rsidR="00000000" w:rsidDel="00000000" w:rsidP="00000000" w:rsidRDefault="00000000" w:rsidRPr="00000000" w14:paraId="0000000E">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Álvaro Obregón</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Azcapotzalco</w:t>
      </w:r>
    </w:p>
    <w:p w:rsidR="00000000" w:rsidDel="00000000" w:rsidP="00000000" w:rsidRDefault="00000000" w:rsidRPr="00000000" w14:paraId="0000001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Benito Juárez</w:t>
      </w:r>
    </w:p>
    <w:p w:rsidR="00000000" w:rsidDel="00000000" w:rsidP="00000000" w:rsidRDefault="00000000" w:rsidRPr="00000000" w14:paraId="0000001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Coyoacán</w:t>
      </w:r>
    </w:p>
    <w:p w:rsidR="00000000" w:rsidDel="00000000" w:rsidP="00000000" w:rsidRDefault="00000000" w:rsidRPr="00000000" w14:paraId="0000001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Cuajimalpa de Morelos</w:t>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Cuauhtémoc</w:t>
      </w:r>
    </w:p>
    <w:p w:rsidR="00000000" w:rsidDel="00000000" w:rsidP="00000000" w:rsidRDefault="00000000" w:rsidRPr="00000000" w14:paraId="0000001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Gustavo A. Madero</w:t>
      </w:r>
    </w:p>
    <w:p w:rsidR="00000000" w:rsidDel="00000000" w:rsidP="00000000" w:rsidRDefault="00000000" w:rsidRPr="00000000" w14:paraId="0000001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Iztacalco</w:t>
      </w:r>
    </w:p>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Iztapalapa</w:t>
      </w:r>
    </w:p>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La Magdalena Contreras</w:t>
      </w:r>
    </w:p>
    <w:p w:rsidR="00000000" w:rsidDel="00000000" w:rsidP="00000000" w:rsidRDefault="00000000" w:rsidRPr="00000000" w14:paraId="0000001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Miguel Hidalgo</w:t>
      </w:r>
    </w:p>
    <w:p w:rsidR="00000000" w:rsidDel="00000000" w:rsidP="00000000" w:rsidRDefault="00000000" w:rsidRPr="00000000" w14:paraId="0000001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Milpa Alta</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Tláhuac</w:t>
      </w:r>
    </w:p>
    <w:p w:rsidR="00000000" w:rsidDel="00000000" w:rsidP="00000000" w:rsidRDefault="00000000" w:rsidRPr="00000000" w14:paraId="0000001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Tlalpan</w:t>
      </w:r>
    </w:p>
    <w:p w:rsidR="00000000" w:rsidDel="00000000" w:rsidP="00000000" w:rsidRDefault="00000000" w:rsidRPr="00000000" w14:paraId="0000001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Venustiano Carranza</w:t>
      </w:r>
    </w:p>
    <w:p w:rsidR="00000000" w:rsidDel="00000000" w:rsidP="00000000" w:rsidRDefault="00000000" w:rsidRPr="00000000" w14:paraId="0000001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Alcaldía Xochimilco</w:t>
      </w:r>
    </w:p>
    <w:p w:rsidR="00000000" w:rsidDel="00000000" w:rsidP="00000000" w:rsidRDefault="00000000" w:rsidRPr="00000000" w14:paraId="0000001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Comisión para la Reconstrucción</w:t>
      </w:r>
    </w:p>
    <w:p w:rsidR="00000000" w:rsidDel="00000000" w:rsidP="00000000" w:rsidRDefault="00000000" w:rsidRPr="00000000" w14:paraId="0000002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Instituto de Vivienda de la Ciudad de México</w:t>
      </w:r>
    </w:p>
    <w:p w:rsidR="00000000" w:rsidDel="00000000" w:rsidP="00000000" w:rsidRDefault="00000000" w:rsidRPr="00000000" w14:paraId="0000002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Instituto Local de la Infraestructura Física Educativa de la Ciudad de México</w:t>
      </w:r>
    </w:p>
    <w:p w:rsidR="00000000" w:rsidDel="00000000" w:rsidP="00000000" w:rsidRDefault="00000000" w:rsidRPr="00000000" w14:paraId="0000002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Instituto para la Seguridad de las Construcciones en la Ciudad de México</w:t>
      </w:r>
    </w:p>
    <w:p w:rsidR="00000000" w:rsidDel="00000000" w:rsidP="00000000" w:rsidRDefault="00000000" w:rsidRPr="00000000" w14:paraId="0000002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Jefatura de Gobierno de la Ciudad de México</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Secretaría de Administración y Finanzas</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Secretaría de Desarrollo Urbano y Vivienda</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Secretaría de Educación, Ciencia, Tecnología e Innovación</w:t>
      </w:r>
    </w:p>
    <w:p w:rsidR="00000000" w:rsidDel="00000000" w:rsidP="00000000" w:rsidRDefault="00000000" w:rsidRPr="00000000" w14:paraId="0000002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Secretaría de Gestión Integral de Riesgos y Protección Civil</w:t>
      </w:r>
    </w:p>
    <w:p w:rsidR="00000000" w:rsidDel="00000000" w:rsidP="00000000" w:rsidRDefault="00000000" w:rsidRPr="00000000" w14:paraId="0000002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Secretaría de Inclusión y Bienestar Social</w:t>
      </w:r>
    </w:p>
    <w:p w:rsidR="00000000" w:rsidDel="00000000" w:rsidP="00000000" w:rsidRDefault="00000000" w:rsidRPr="00000000" w14:paraId="0000002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Secretaría de Obras y Servicios</w:t>
      </w:r>
    </w:p>
    <w:p w:rsidR="00000000" w:rsidDel="00000000" w:rsidP="00000000" w:rsidRDefault="00000000" w:rsidRPr="00000000" w14:paraId="0000002A">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B">
      <w:pPr>
        <w:spacing w:line="276" w:lineRule="auto"/>
        <w:jc w:val="both"/>
        <w:rPr>
          <w:rFonts w:ascii="Arial" w:cs="Arial" w:eastAsia="Arial" w:hAnsi="Arial"/>
        </w:rPr>
      </w:pPr>
      <w:r w:rsidDel="00000000" w:rsidR="00000000" w:rsidRPr="00000000">
        <w:rPr>
          <w:rFonts w:ascii="Arial" w:cs="Arial" w:eastAsia="Arial" w:hAnsi="Arial"/>
          <w:rtl w:val="0"/>
        </w:rPr>
        <w:t xml:space="preserve">A esta compilación de solicitudes de información de los 27 sujetos obligados se le aplicaron dos filtrados, el primero buscando las solicitudes que tuvieran las palabras “reconstrucción”, “sismo” y “terremoto”. Con este criterio, se recuperaron </w:t>
      </w:r>
      <w:r w:rsidDel="00000000" w:rsidR="00000000" w:rsidRPr="00000000">
        <w:rPr>
          <w:rFonts w:ascii="Arial" w:cs="Arial" w:eastAsia="Arial" w:hAnsi="Arial"/>
          <w:b w:val="1"/>
          <w:rtl w:val="0"/>
        </w:rPr>
        <w:t xml:space="preserve">7,155 solicitudes</w:t>
      </w:r>
      <w:r w:rsidDel="00000000" w:rsidR="00000000" w:rsidRPr="00000000">
        <w:rPr>
          <w:rFonts w:ascii="Arial" w:cs="Arial" w:eastAsia="Arial" w:hAnsi="Arial"/>
          <w:rtl w:val="0"/>
        </w:rPr>
        <w:t xml:space="preserve"> para los años 2017, 2018 y 2019. </w:t>
      </w:r>
    </w:p>
    <w:p w:rsidR="00000000" w:rsidDel="00000000" w:rsidP="00000000" w:rsidRDefault="00000000" w:rsidRPr="00000000" w14:paraId="0000002C">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D">
      <w:pPr>
        <w:spacing w:line="276" w:lineRule="auto"/>
        <w:jc w:val="both"/>
        <w:rPr>
          <w:rFonts w:ascii="Arial" w:cs="Arial" w:eastAsia="Arial" w:hAnsi="Arial"/>
        </w:rPr>
      </w:pPr>
      <w:r w:rsidDel="00000000" w:rsidR="00000000" w:rsidRPr="00000000">
        <w:rPr>
          <w:rFonts w:ascii="Arial" w:cs="Arial" w:eastAsia="Arial" w:hAnsi="Arial"/>
          <w:rtl w:val="0"/>
        </w:rPr>
        <w:t xml:space="preserve">El segundo filtrado, consistió el revisar el texto de las solicitudes y eliminar aquellas que no tenían relación con el sismo del 19 de septiembre de 2017. Por ejemplo, algunas hacían referencia a los sismos de 1985, o bien aludían a la reconstrucción de distintos mercados de la Ciudad ocasionados por incendios. Después de este filtrado se integró un total de 6,819 solicitudes entre septiembre de 2017 y diciembre de 2019.</w:t>
      </w:r>
    </w:p>
    <w:p w:rsidR="00000000" w:rsidDel="00000000" w:rsidP="00000000" w:rsidRDefault="00000000" w:rsidRPr="00000000" w14:paraId="0000002E">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F">
      <w:pPr>
        <w:spacing w:line="276" w:lineRule="auto"/>
        <w:jc w:val="both"/>
        <w:rPr>
          <w:rFonts w:ascii="Arial" w:cs="Arial" w:eastAsia="Arial" w:hAnsi="Arial"/>
        </w:rPr>
      </w:pPr>
      <w:r w:rsidDel="00000000" w:rsidR="00000000" w:rsidRPr="00000000">
        <w:rPr>
          <w:rFonts w:ascii="Arial" w:cs="Arial" w:eastAsia="Arial" w:hAnsi="Arial"/>
          <w:rtl w:val="0"/>
        </w:rPr>
        <w:t xml:space="preserve">La siguiente tabla muestra el número de solicitudes seleccionadas, por año, antes y después de estos filtrados.</w:t>
      </w:r>
    </w:p>
    <w:p w:rsidR="00000000" w:rsidDel="00000000" w:rsidP="00000000" w:rsidRDefault="00000000" w:rsidRPr="00000000" w14:paraId="00000030">
      <w:pPr>
        <w:spacing w:line="276" w:lineRule="auto"/>
        <w:jc w:val="right"/>
        <w:rPr>
          <w:rFonts w:ascii="Arial" w:cs="Arial" w:eastAsia="Arial" w:hAnsi="Arial"/>
        </w:rPr>
      </w:pPr>
      <w:r w:rsidDel="00000000" w:rsidR="00000000" w:rsidRPr="00000000">
        <w:rPr>
          <w:rtl w:val="0"/>
        </w:rPr>
      </w:r>
    </w:p>
    <w:tbl>
      <w:tblPr>
        <w:tblStyle w:val="Table1"/>
        <w:tblW w:w="560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3"/>
        <w:gridCol w:w="2361"/>
        <w:gridCol w:w="2361"/>
        <w:tblGridChange w:id="0">
          <w:tblGrid>
            <w:gridCol w:w="883"/>
            <w:gridCol w:w="2361"/>
            <w:gridCol w:w="2361"/>
          </w:tblGrid>
        </w:tblGridChange>
      </w:tblGrid>
      <w:tr>
        <w:tc>
          <w:tcPr>
            <w:shd w:fill="d9d9d9" w:val="clear"/>
          </w:tcPr>
          <w:p w:rsidR="00000000" w:rsidDel="00000000" w:rsidP="00000000" w:rsidRDefault="00000000" w:rsidRPr="00000000" w14:paraId="0000003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Año</w:t>
            </w:r>
          </w:p>
        </w:tc>
        <w:tc>
          <w:tcPr>
            <w:shd w:fill="d9d9d9" w:val="clear"/>
          </w:tcPr>
          <w:p w:rsidR="00000000" w:rsidDel="00000000" w:rsidP="00000000" w:rsidRDefault="00000000" w:rsidRPr="00000000" w14:paraId="00000032">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Número de solicitudes</w:t>
            </w:r>
          </w:p>
          <w:p w:rsidR="00000000" w:rsidDel="00000000" w:rsidP="00000000" w:rsidRDefault="00000000" w:rsidRPr="00000000" w14:paraId="00000033">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(antes)</w:t>
            </w:r>
          </w:p>
        </w:tc>
        <w:tc>
          <w:tcPr>
            <w:shd w:fill="d9d9d9" w:val="clear"/>
          </w:tcPr>
          <w:p w:rsidR="00000000" w:rsidDel="00000000" w:rsidP="00000000" w:rsidRDefault="00000000" w:rsidRPr="00000000" w14:paraId="0000003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Número de solicitudes</w:t>
            </w:r>
          </w:p>
          <w:p w:rsidR="00000000" w:rsidDel="00000000" w:rsidP="00000000" w:rsidRDefault="00000000" w:rsidRPr="00000000" w14:paraId="00000035">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(después)</w:t>
            </w:r>
          </w:p>
        </w:tc>
      </w:tr>
      <w:tr>
        <w:tc>
          <w:tcPr/>
          <w:p w:rsidR="00000000" w:rsidDel="00000000" w:rsidP="00000000" w:rsidRDefault="00000000" w:rsidRPr="00000000" w14:paraId="00000036">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2017</w:t>
            </w:r>
          </w:p>
        </w:tc>
        <w:tc>
          <w:tcPr/>
          <w:p w:rsidR="00000000" w:rsidDel="00000000" w:rsidP="00000000" w:rsidRDefault="00000000" w:rsidRPr="00000000" w14:paraId="00000037">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2,578</w:t>
            </w:r>
          </w:p>
        </w:tc>
        <w:tc>
          <w:tcPr/>
          <w:p w:rsidR="00000000" w:rsidDel="00000000" w:rsidP="00000000" w:rsidRDefault="00000000" w:rsidRPr="00000000" w14:paraId="00000038">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2,541</w:t>
            </w:r>
          </w:p>
        </w:tc>
      </w:tr>
      <w:tr>
        <w:tc>
          <w:tcPr/>
          <w:p w:rsidR="00000000" w:rsidDel="00000000" w:rsidP="00000000" w:rsidRDefault="00000000" w:rsidRPr="00000000" w14:paraId="00000039">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2018</w:t>
            </w:r>
          </w:p>
        </w:tc>
        <w:tc>
          <w:tcPr/>
          <w:p w:rsidR="00000000" w:rsidDel="00000000" w:rsidP="00000000" w:rsidRDefault="00000000" w:rsidRPr="00000000" w14:paraId="0000003A">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3,067</w:t>
            </w:r>
          </w:p>
        </w:tc>
        <w:tc>
          <w:tcPr/>
          <w:p w:rsidR="00000000" w:rsidDel="00000000" w:rsidP="00000000" w:rsidRDefault="00000000" w:rsidRPr="00000000" w14:paraId="0000003B">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2,933</w:t>
            </w:r>
          </w:p>
        </w:tc>
      </w:tr>
      <w:tr>
        <w:tc>
          <w:tcPr/>
          <w:p w:rsidR="00000000" w:rsidDel="00000000" w:rsidP="00000000" w:rsidRDefault="00000000" w:rsidRPr="00000000" w14:paraId="0000003C">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2019</w:t>
            </w:r>
          </w:p>
        </w:tc>
        <w:tc>
          <w:tcPr/>
          <w:p w:rsidR="00000000" w:rsidDel="00000000" w:rsidP="00000000" w:rsidRDefault="00000000" w:rsidRPr="00000000" w14:paraId="0000003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1,510</w:t>
            </w:r>
          </w:p>
        </w:tc>
        <w:tc>
          <w:tcPr/>
          <w:p w:rsidR="00000000" w:rsidDel="00000000" w:rsidP="00000000" w:rsidRDefault="00000000" w:rsidRPr="00000000" w14:paraId="0000003E">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1,345</w:t>
            </w:r>
          </w:p>
        </w:tc>
      </w:tr>
      <w:tr>
        <w:tc>
          <w:tcPr>
            <w:shd w:fill="bfbfbf" w:val="clear"/>
          </w:tcPr>
          <w:p w:rsidR="00000000" w:rsidDel="00000000" w:rsidP="00000000" w:rsidRDefault="00000000" w:rsidRPr="00000000" w14:paraId="0000003F">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TOTAL</w:t>
            </w:r>
          </w:p>
        </w:tc>
        <w:tc>
          <w:tcPr>
            <w:shd w:fill="bfbfbf" w:val="clear"/>
          </w:tcPr>
          <w:p w:rsidR="00000000" w:rsidDel="00000000" w:rsidP="00000000" w:rsidRDefault="00000000" w:rsidRPr="00000000" w14:paraId="00000040">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7,155</w:t>
            </w:r>
          </w:p>
        </w:tc>
        <w:tc>
          <w:tcPr>
            <w:shd w:fill="bfbfbf" w:val="clear"/>
          </w:tcPr>
          <w:p w:rsidR="00000000" w:rsidDel="00000000" w:rsidP="00000000" w:rsidRDefault="00000000" w:rsidRPr="00000000" w14:paraId="00000041">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6,819</w:t>
            </w:r>
          </w:p>
        </w:tc>
      </w:tr>
    </w:tbl>
    <w:p w:rsidR="00000000" w:rsidDel="00000000" w:rsidP="00000000" w:rsidRDefault="00000000" w:rsidRPr="00000000" w14:paraId="00000042">
      <w:pPr>
        <w:jc w:val="both"/>
        <w:rPr>
          <w:rFonts w:ascii="Arial" w:cs="Arial" w:eastAsia="Arial" w:hAnsi="Arial"/>
        </w:rPr>
      </w:pPr>
      <w:r w:rsidDel="00000000" w:rsidR="00000000" w:rsidRPr="00000000">
        <w:rPr>
          <w:rtl w:val="0"/>
        </w:rPr>
      </w:r>
    </w:p>
    <w:p w:rsidR="00000000" w:rsidDel="00000000" w:rsidP="00000000" w:rsidRDefault="00000000" w:rsidRPr="00000000" w14:paraId="00000043">
      <w:pPr>
        <w:spacing w:line="276" w:lineRule="auto"/>
        <w:jc w:val="both"/>
        <w:rPr>
          <w:rFonts w:ascii="Arial" w:cs="Arial" w:eastAsia="Arial" w:hAnsi="Arial"/>
        </w:rPr>
      </w:pPr>
      <w:r w:rsidDel="00000000" w:rsidR="00000000" w:rsidRPr="00000000">
        <w:rPr>
          <w:rFonts w:ascii="Arial" w:cs="Arial" w:eastAsia="Arial" w:hAnsi="Arial"/>
          <w:rtl w:val="0"/>
        </w:rPr>
        <w:t xml:space="preserve">Una vez seleccionado este conjunto de solicitudes, se trabajó en la protección de los datos personales eliminando de las solicitudes el nombre, teléfono y correo electrónico. Dado que existen solicitudes de información relativas a daños, fondos y dictámenes de directores de obra de inmuebles específicos, se consideró pertinente mantener sólo la dirección.</w:t>
      </w:r>
    </w:p>
    <w:p w:rsidR="00000000" w:rsidDel="00000000" w:rsidP="00000000" w:rsidRDefault="00000000" w:rsidRPr="00000000" w14:paraId="00000044">
      <w:pPr>
        <w:spacing w:line="27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5">
      <w:pPr>
        <w:spacing w:after="160" w:line="276" w:lineRule="auto"/>
        <w:jc w:val="both"/>
        <w:rPr>
          <w:rFonts w:ascii="Arial" w:cs="Arial" w:eastAsia="Arial" w:hAnsi="Arial"/>
          <w:smallCaps w:val="1"/>
          <w:sz w:val="16"/>
          <w:szCs w:val="16"/>
        </w:rPr>
      </w:pPr>
      <w:r w:rsidDel="00000000" w:rsidR="00000000" w:rsidRPr="00000000">
        <w:rPr>
          <w:rFonts w:ascii="Arial" w:cs="Arial" w:eastAsia="Arial" w:hAnsi="Arial"/>
          <w:rtl w:val="0"/>
        </w:rPr>
        <w:t xml:space="preserve">Los datos extraídos del SICRESI, contienen una columna que identifica el área de interés de la solicitud. Sin embargo, esta clasificación no refleja temas específicos al sismo del 19 de septiembre de 2019 o sobre la reconstrucción. Además, tiene una gran cantidad de solicitudes en la categoría de “Otros”: hubo 54.4% para 2017; 47.6% para 2018 y 46.2% para 2019</w:t>
      </w: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Fonts w:ascii="Arial" w:cs="Arial" w:eastAsia="Arial" w:hAnsi="Arial"/>
          <w:rtl w:val="0"/>
        </w:rPr>
        <w:t xml:space="preserve">Por esta razón, se consideró necesario realizar una nueva clasificación, para lo cual se retomó el trabajo presentaste en el 1er Coloquio por una Reconstrucción Abierta de 2019</w:t>
      </w:r>
      <w:r w:rsidDel="00000000" w:rsidR="00000000" w:rsidRPr="00000000">
        <w:rPr>
          <w:rFonts w:ascii="Arial" w:cs="Arial" w:eastAsia="Arial" w:hAnsi="Arial"/>
          <w:vertAlign w:val="superscript"/>
        </w:rPr>
        <w:footnoteReference w:customMarkFollows="0" w:id="0"/>
      </w:r>
      <w:r w:rsidDel="00000000" w:rsidR="00000000" w:rsidRPr="00000000">
        <w:rPr>
          <w:rFonts w:ascii="Arial" w:cs="Arial" w:eastAsia="Arial" w:hAnsi="Arial"/>
          <w:rtl w:val="0"/>
        </w:rPr>
        <w:t xml:space="preserve">, por lo que se utilizaron siete categorías: </w:t>
      </w:r>
    </w:p>
    <w:p w:rsidR="00000000" w:rsidDel="00000000" w:rsidP="00000000" w:rsidRDefault="00000000" w:rsidRPr="00000000" w14:paraId="00000047">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Reconstrucción.</w:t>
      </w:r>
    </w:p>
    <w:p w:rsidR="00000000" w:rsidDel="00000000" w:rsidP="00000000" w:rsidRDefault="00000000" w:rsidRPr="00000000" w14:paraId="0000004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Fondos.</w:t>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Evaluación.</w:t>
      </w:r>
    </w:p>
    <w:p w:rsidR="00000000" w:rsidDel="00000000" w:rsidP="00000000" w:rsidRDefault="00000000" w:rsidRPr="00000000" w14:paraId="0000004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Daños.</w:t>
      </w:r>
    </w:p>
    <w:p w:rsidR="00000000" w:rsidDel="00000000" w:rsidP="00000000" w:rsidRDefault="00000000" w:rsidRPr="00000000" w14:paraId="0000004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Respuesta al sismo.</w:t>
      </w:r>
    </w:p>
    <w:p w:rsidR="00000000" w:rsidDel="00000000" w:rsidP="00000000" w:rsidRDefault="00000000" w:rsidRPr="00000000" w14:paraId="0000004C">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Legalidad.</w:t>
      </w:r>
    </w:p>
    <w:p w:rsidR="00000000" w:rsidDel="00000000" w:rsidP="00000000" w:rsidRDefault="00000000" w:rsidRPr="00000000" w14:paraId="0000004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Prevención.</w:t>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Para reclasificar las solicitudes de información en las categorías mencionadas, el procedimiento consistió en hacer una lectura de cada solicitud y seguir los criterios </w:t>
      </w:r>
      <w:r w:rsidDel="00000000" w:rsidR="00000000" w:rsidRPr="00000000">
        <w:rPr>
          <w:rFonts w:ascii="Arial" w:cs="Arial" w:eastAsia="Arial" w:hAnsi="Arial"/>
          <w:i w:val="1"/>
          <w:rtl w:val="0"/>
        </w:rPr>
        <w:t xml:space="preserve">ad hoc</w:t>
      </w:r>
      <w:r w:rsidDel="00000000" w:rsidR="00000000" w:rsidRPr="00000000">
        <w:rPr>
          <w:rFonts w:ascii="Arial" w:cs="Arial" w:eastAsia="Arial" w:hAnsi="Arial"/>
          <w:rtl w:val="0"/>
        </w:rPr>
        <w:t xml:space="preserve">, que a continuación se detallan.</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Fonts w:ascii="Arial" w:cs="Arial" w:eastAsia="Arial" w:hAnsi="Arial"/>
          <w:rtl w:val="0"/>
        </w:rPr>
        <w:t xml:space="preserve">En el caso de </w:t>
      </w:r>
      <w:r w:rsidDel="00000000" w:rsidR="00000000" w:rsidRPr="00000000">
        <w:rPr>
          <w:rFonts w:ascii="Arial" w:cs="Arial" w:eastAsia="Arial" w:hAnsi="Arial"/>
          <w:b w:val="1"/>
          <w:rtl w:val="0"/>
        </w:rPr>
        <w:t xml:space="preserve">reconstrucción</w:t>
      </w:r>
      <w:r w:rsidDel="00000000" w:rsidR="00000000" w:rsidRPr="00000000">
        <w:rPr>
          <w:rFonts w:ascii="Arial" w:cs="Arial" w:eastAsia="Arial" w:hAnsi="Arial"/>
          <w:rtl w:val="0"/>
        </w:rPr>
        <w:t xml:space="preserve">, se consideró aquellas solicitudes que referían a edificios o infraestructura que fue dañada y que, a criterio del solicitante, debía ser reconstruida. En este sentido, también se consideraron solicitudes que cuestionaban por qué aún no se iniciaban los trabajos de reconstrucción, o por qué no se siguieron estos.</w:t>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Fonts w:ascii="Arial" w:cs="Arial" w:eastAsia="Arial" w:hAnsi="Arial"/>
          <w:rtl w:val="0"/>
        </w:rPr>
        <w:t xml:space="preserve">En la clasificación de </w:t>
      </w:r>
      <w:r w:rsidDel="00000000" w:rsidR="00000000" w:rsidRPr="00000000">
        <w:rPr>
          <w:rFonts w:ascii="Arial" w:cs="Arial" w:eastAsia="Arial" w:hAnsi="Arial"/>
          <w:b w:val="1"/>
          <w:rtl w:val="0"/>
        </w:rPr>
        <w:t xml:space="preserve">fondos</w:t>
      </w:r>
      <w:r w:rsidDel="00000000" w:rsidR="00000000" w:rsidRPr="00000000">
        <w:rPr>
          <w:rFonts w:ascii="Arial" w:cs="Arial" w:eastAsia="Arial" w:hAnsi="Arial"/>
          <w:rtl w:val="0"/>
        </w:rPr>
        <w:t xml:space="preserve"> se incluyeron todas las solicitudes de información que hacen referencia a todos los recursos que fueron aportados para hacer frente al sismo. Por ejemplo, recursos del Fondo de Aportaciones para la Infraestructura, sobre donaciones y recursos públicos presupuestados.</w:t>
      </w:r>
    </w:p>
    <w:p w:rsidR="00000000" w:rsidDel="00000000" w:rsidP="00000000" w:rsidRDefault="00000000" w:rsidRPr="00000000" w14:paraId="00000054">
      <w:pPr>
        <w:jc w:val="both"/>
        <w:rPr>
          <w:rFonts w:ascii="Arial" w:cs="Arial" w:eastAsia="Arial" w:hAnsi="Arial"/>
        </w:rPr>
      </w:pPr>
      <w:r w:rsidDel="00000000" w:rsidR="00000000" w:rsidRPr="00000000">
        <w:rPr>
          <w:rtl w:val="0"/>
        </w:rPr>
      </w:r>
    </w:p>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rtl w:val="0"/>
        </w:rPr>
        <w:t xml:space="preserve">En la categoría de </w:t>
      </w:r>
      <w:r w:rsidDel="00000000" w:rsidR="00000000" w:rsidRPr="00000000">
        <w:rPr>
          <w:rFonts w:ascii="Arial" w:cs="Arial" w:eastAsia="Arial" w:hAnsi="Arial"/>
          <w:b w:val="1"/>
          <w:rtl w:val="0"/>
        </w:rPr>
        <w:t xml:space="preserve">evaluación</w:t>
      </w:r>
      <w:r w:rsidDel="00000000" w:rsidR="00000000" w:rsidRPr="00000000">
        <w:rPr>
          <w:rFonts w:ascii="Arial" w:cs="Arial" w:eastAsia="Arial" w:hAnsi="Arial"/>
          <w:rtl w:val="0"/>
        </w:rPr>
        <w:t xml:space="preserve">, se consideraron aquellas solicitudes referentes a estudios, evaluaciones de impacto o sobre la infraestructura; así como solicitudes que implicaban la valoración de diversos temas. Por ejemplo, está el caso de una solicitud sobre el número de edificios derrumbados con mujeres jefas de familia. Asimismo, se consideraron en esta clasificación las solicitudes sobre diversas características de un edificio en cuestión. Por ejemplo, contratos de compra venta, sobre los propietarios, adeudos, evaluaciones de directores responsables de obra (DRO). Cabe destacar que este tipo de solicitudes siguen una estructura similar.</w:t>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Fonts w:ascii="Arial" w:cs="Arial" w:eastAsia="Arial" w:hAnsi="Arial"/>
          <w:rtl w:val="0"/>
        </w:rPr>
        <w:t xml:space="preserve">En la categoría de </w:t>
      </w:r>
      <w:r w:rsidDel="00000000" w:rsidR="00000000" w:rsidRPr="00000000">
        <w:rPr>
          <w:rFonts w:ascii="Arial" w:cs="Arial" w:eastAsia="Arial" w:hAnsi="Arial"/>
          <w:b w:val="1"/>
          <w:rtl w:val="0"/>
        </w:rPr>
        <w:t xml:space="preserve">daños</w:t>
      </w:r>
      <w:r w:rsidDel="00000000" w:rsidR="00000000" w:rsidRPr="00000000">
        <w:rPr>
          <w:rFonts w:ascii="Arial" w:cs="Arial" w:eastAsia="Arial" w:hAnsi="Arial"/>
          <w:rtl w:val="0"/>
        </w:rPr>
        <w:t xml:space="preserve"> se clasificaron únicamente las solicitudes de información sobre los daños de un inmueble, o bien un listado sobre los daños registrados en los inmuebles por distintas dependencias.</w:t>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Fonts w:ascii="Arial" w:cs="Arial" w:eastAsia="Arial" w:hAnsi="Arial"/>
          <w:b w:val="1"/>
          <w:rtl w:val="0"/>
        </w:rPr>
        <w:t xml:space="preserve">Respuesta al sismo</w:t>
      </w:r>
      <w:r w:rsidDel="00000000" w:rsidR="00000000" w:rsidRPr="00000000">
        <w:rPr>
          <w:rFonts w:ascii="Arial" w:cs="Arial" w:eastAsia="Arial" w:hAnsi="Arial"/>
          <w:rtl w:val="0"/>
        </w:rPr>
        <w:t xml:space="preserve"> es una categoría muy amplia, en la que se reclasificaron las solicitudes que se refieren a todas las acciones implementadas por las autoridades para atender a la ciudadanía. Desde información sobre albergues y campamentos, la relatoría de eventos de ese día por las diversas autoridades, la entrega de despensas y las campañas para realizar dictámenes.</w:t>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Fonts w:ascii="Arial" w:cs="Arial" w:eastAsia="Arial" w:hAnsi="Arial"/>
          <w:rtl w:val="0"/>
        </w:rPr>
        <w:t xml:space="preserve">Para el caso de </w:t>
      </w:r>
      <w:r w:rsidDel="00000000" w:rsidR="00000000" w:rsidRPr="00000000">
        <w:rPr>
          <w:rFonts w:ascii="Arial" w:cs="Arial" w:eastAsia="Arial" w:hAnsi="Arial"/>
          <w:b w:val="1"/>
          <w:rtl w:val="0"/>
        </w:rPr>
        <w:t xml:space="preserve">legalidad</w:t>
      </w:r>
      <w:r w:rsidDel="00000000" w:rsidR="00000000" w:rsidRPr="00000000">
        <w:rPr>
          <w:rFonts w:ascii="Arial" w:cs="Arial" w:eastAsia="Arial" w:hAnsi="Arial"/>
          <w:rtl w:val="0"/>
        </w:rPr>
        <w:t xml:space="preserve">, se priorizaron aquellas solicitudes que cuestionaban el actuar de las autoridades, o bien tenían dudas sobre determinadas resoluciones. Por ejemplo, la entrega de dictámenes de seguridad por parte de los DRO, cuando la solicitante argumentaba que el inmueble en cuestión estaba en malas condiciones. De manera similar, solicitudes que argumentaban que un inmueble estaba siendo demolido, cuando no tenía daños, de acuerdo con la persona solicitante de la información.</w:t>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Fonts w:ascii="Arial" w:cs="Arial" w:eastAsia="Arial" w:hAnsi="Arial"/>
          <w:rtl w:val="0"/>
        </w:rPr>
        <w:t xml:space="preserve">Finalmente, la categoría de </w:t>
      </w:r>
      <w:r w:rsidDel="00000000" w:rsidR="00000000" w:rsidRPr="00000000">
        <w:rPr>
          <w:rFonts w:ascii="Arial" w:cs="Arial" w:eastAsia="Arial" w:hAnsi="Arial"/>
          <w:b w:val="1"/>
          <w:rtl w:val="0"/>
        </w:rPr>
        <w:t xml:space="preserve">prevención</w:t>
      </w:r>
      <w:r w:rsidDel="00000000" w:rsidR="00000000" w:rsidRPr="00000000">
        <w:rPr>
          <w:rFonts w:ascii="Arial" w:cs="Arial" w:eastAsia="Arial" w:hAnsi="Arial"/>
          <w:rtl w:val="0"/>
        </w:rPr>
        <w:t xml:space="preserve"> engloba las solicitudes que preguntan sobre mecanismos de prevención para inmuebles: alertas sísmicas, amortiguadores para inmuebles, recursos presupuestados en estas acciones.</w:t>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Fonts w:ascii="Arial" w:cs="Arial" w:eastAsia="Arial" w:hAnsi="Arial"/>
          <w:rtl w:val="0"/>
        </w:rPr>
        <w:t xml:space="preserve">Además de facilitar la sistematización y el análisis, tener menos categorías temáticas de las solicitudes, con la reclasificación se visibilizan las necesidades de la población.</w:t>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bookmarkStart w:colFirst="0" w:colLast="0" w:name="_heading=h.30j0zll" w:id="1"/>
      <w:bookmarkEnd w:id="1"/>
      <w:r w:rsidDel="00000000" w:rsidR="00000000" w:rsidRPr="00000000">
        <w:rPr>
          <w:rFonts w:ascii="Arial" w:cs="Arial" w:eastAsia="Arial" w:hAnsi="Arial"/>
          <w:rtl w:val="0"/>
        </w:rPr>
        <w:t xml:space="preserve">Las bases de datos pueden ser consultados en el siguiente </w:t>
      </w:r>
      <w:hyperlink r:id="rId8">
        <w:r w:rsidDel="00000000" w:rsidR="00000000" w:rsidRPr="00000000">
          <w:rPr>
            <w:rFonts w:ascii="Arial" w:cs="Arial" w:eastAsia="Arial" w:hAnsi="Arial"/>
            <w:color w:val="0563c1"/>
            <w:u w:val="single"/>
            <w:rtl w:val="0"/>
          </w:rPr>
          <w:t xml:space="preserve">repositorio</w:t>
        </w:r>
      </w:hyperlink>
      <w:r w:rsidDel="00000000" w:rsidR="00000000" w:rsidRPr="00000000">
        <w:rPr>
          <w:rFonts w:ascii="Arial" w:cs="Arial" w:eastAsia="Arial" w:hAnsi="Arial"/>
          <w:rtl w:val="0"/>
        </w:rPr>
        <w:t xml:space="preserve">.</w:t>
      </w:r>
    </w:p>
    <w:p w:rsidR="00000000" w:rsidDel="00000000" w:rsidP="00000000" w:rsidRDefault="00000000" w:rsidRPr="00000000" w14:paraId="00000062">
      <w:pPr>
        <w:jc w:val="both"/>
        <w:rPr>
          <w:rFonts w:ascii="Arial" w:cs="Arial" w:eastAsia="Arial" w:hAnsi="Arial"/>
        </w:rPr>
      </w:pPr>
      <w:r w:rsidDel="00000000" w:rsidR="00000000" w:rsidRPr="00000000">
        <w:rPr>
          <w:rtl w:val="0"/>
        </w:rPr>
      </w:r>
    </w:p>
    <w:p w:rsidR="00000000" w:rsidDel="00000000" w:rsidP="00000000" w:rsidRDefault="00000000" w:rsidRPr="00000000" w14:paraId="00000063">
      <w:pPr>
        <w:jc w:val="both"/>
        <w:rPr>
          <w:rFonts w:ascii="Arial" w:cs="Arial" w:eastAsia="Arial" w:hAnsi="Arial"/>
        </w:rPr>
      </w:pPr>
      <w:r w:rsidDel="00000000" w:rsidR="00000000" w:rsidRPr="00000000">
        <w:rPr>
          <w:rtl w:val="0"/>
        </w:rPr>
      </w:r>
    </w:p>
    <w:p w:rsidR="00000000" w:rsidDel="00000000" w:rsidP="00000000" w:rsidRDefault="00000000" w:rsidRPr="00000000" w14:paraId="00000064">
      <w:pPr>
        <w:jc w:val="both"/>
        <w:rPr>
          <w:rFonts w:ascii="Arial" w:cs="Arial" w:eastAsia="Arial" w:hAnsi="Arial"/>
        </w:rPr>
      </w:pPr>
      <w:r w:rsidDel="00000000" w:rsidR="00000000" w:rsidRPr="00000000">
        <w:rPr>
          <w:rtl w:val="0"/>
        </w:rPr>
      </w:r>
    </w:p>
    <w:sectPr>
      <w:headerReference r:id="rId9" w:type="default"/>
      <w:footerReference r:id="rId10" w:type="default"/>
      <w:pgSz w:h="15840" w:w="12240"/>
      <w:pgMar w:bottom="992" w:top="1418" w:left="1247" w:right="124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Times New Roman"/>
  <w:font w:name="Courier New"/>
  <w:font w:name="Noto Sans Symbols"/>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-749299</wp:posOffset>
          </wp:positionH>
          <wp:positionV relativeFrom="paragraph">
            <wp:posOffset>-15874</wp:posOffset>
          </wp:positionV>
          <wp:extent cx="7673975" cy="401955"/>
          <wp:effectExtent b="0" l="0" r="0" t="0"/>
          <wp:wrapSquare wrapText="bothSides" distB="0" distT="0" distL="114300" distR="114300"/>
          <wp:docPr id="7" name="image2.png"/>
          <a:graphic>
            <a:graphicData uri="http://schemas.openxmlformats.org/drawingml/2006/picture">
              <pic:pic>
                <pic:nvPicPr>
                  <pic:cNvPr id="0" name="image2.png"/>
                  <pic:cNvPicPr preferRelativeResize="0"/>
                </pic:nvPicPr>
                <pic:blipFill>
                  <a:blip r:embed="rId1"/>
                  <a:srcRect b="23838" l="0" r="0" t="19643"/>
                  <a:stretch>
                    <a:fillRect/>
                  </a:stretch>
                </pic:blipFill>
                <pic:spPr>
                  <a:xfrm>
                    <a:off x="0" y="0"/>
                    <a:ext cx="7673975" cy="401955"/>
                  </a:xfrm>
                  <a:prstGeom prst="rect"/>
                  <a:ln/>
                </pic:spPr>
              </pic:pic>
            </a:graphicData>
          </a:graphic>
        </wp:anchor>
      </w:drawing>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La memoria del evento, incluyendo la grabación del evento, las presentaciones e información de las ponentes puede ser consultada en el siguiente enlace: </w:t>
      </w:r>
      <w:hyperlink r:id="rId1">
        <w:r w:rsidDel="00000000" w:rsidR="00000000" w:rsidRPr="00000000">
          <w:rPr>
            <w:rFonts w:ascii="Calibri" w:cs="Calibri" w:eastAsia="Calibri" w:hAnsi="Calibri"/>
            <w:b w:val="0"/>
            <w:i w:val="0"/>
            <w:smallCaps w:val="0"/>
            <w:strike w:val="0"/>
            <w:color w:val="0563c1"/>
            <w:sz w:val="20"/>
            <w:szCs w:val="20"/>
            <w:u w:val="single"/>
            <w:shd w:fill="auto" w:val="clear"/>
            <w:vertAlign w:val="baseline"/>
            <w:rtl w:val="0"/>
          </w:rPr>
          <w:t xml:space="preserve">https://infocdmx.org.mx/reconstruccionabiertaCDMX2019/</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tabs>
        <w:tab w:val="center" w:pos="4420"/>
      </w:tabs>
      <w:ind w:left="1134" w:right="107" w:firstLine="0"/>
      <w:jc w:val="right"/>
      <w:rPr>
        <w:rFonts w:ascii="Arial Black" w:cs="Arial Black" w:eastAsia="Arial Black" w:hAnsi="Arial Black"/>
        <w:color w:val="4597a1"/>
        <w:sz w:val="18"/>
        <w:szCs w:val="18"/>
      </w:rPr>
    </w:pPr>
    <w:bookmarkStart w:colFirst="0" w:colLast="0" w:name="_heading=h.1fob9te" w:id="2"/>
    <w:bookmarkEnd w:id="2"/>
    <w:r w:rsidDel="00000000" w:rsidR="00000000" w:rsidRPr="00000000">
      <w:rPr>
        <w:rFonts w:ascii="Arial Black" w:cs="Arial Black" w:eastAsia="Arial Black" w:hAnsi="Arial Black"/>
        <w:color w:val="4597a1"/>
        <w:sz w:val="18"/>
        <w:szCs w:val="18"/>
        <w:rtl w:val="0"/>
      </w:rPr>
      <w:t xml:space="preserve">Instituto de Transparencia, Acceso a la Información Pública,</w:t>
    </w:r>
    <w:r w:rsidDel="00000000" w:rsidR="00000000" w:rsidRPr="00000000">
      <w:drawing>
        <wp:anchor allowOverlap="1" behindDoc="0" distB="0" distT="0" distL="114300" distR="114300" hidden="0" layoutInCell="1" locked="0" relativeHeight="0" simplePos="0">
          <wp:simplePos x="0" y="0"/>
          <wp:positionH relativeFrom="column">
            <wp:posOffset>-219709</wp:posOffset>
          </wp:positionH>
          <wp:positionV relativeFrom="paragraph">
            <wp:posOffset>-207008</wp:posOffset>
          </wp:positionV>
          <wp:extent cx="1062355" cy="503555"/>
          <wp:effectExtent b="0" l="0" r="0" t="0"/>
          <wp:wrapNone/>
          <wp:docPr id="6" name="image1.png"/>
          <a:graphic>
            <a:graphicData uri="http://schemas.openxmlformats.org/drawingml/2006/picture">
              <pic:pic>
                <pic:nvPicPr>
                  <pic:cNvPr id="0" name="image1.png"/>
                  <pic:cNvPicPr preferRelativeResize="0"/>
                </pic:nvPicPr>
                <pic:blipFill>
                  <a:blip r:embed="rId1"/>
                  <a:srcRect b="0" l="0" r="18030" t="0"/>
                  <a:stretch>
                    <a:fillRect/>
                  </a:stretch>
                </pic:blipFill>
                <pic:spPr>
                  <a:xfrm>
                    <a:off x="0" y="0"/>
                    <a:ext cx="1062355" cy="503555"/>
                  </a:xfrm>
                  <a:prstGeom prst="rect"/>
                  <a:ln/>
                </pic:spPr>
              </pic:pic>
            </a:graphicData>
          </a:graphic>
        </wp:anchor>
      </w:drawing>
    </w:r>
  </w:p>
  <w:p w:rsidR="00000000" w:rsidDel="00000000" w:rsidP="00000000" w:rsidRDefault="00000000" w:rsidRPr="00000000" w14:paraId="00000067">
    <w:pPr>
      <w:tabs>
        <w:tab w:val="center" w:pos="4420"/>
      </w:tabs>
      <w:ind w:left="1134" w:right="107" w:firstLine="0"/>
      <w:jc w:val="right"/>
      <w:rPr>
        <w:rFonts w:ascii="Arial Black" w:cs="Arial Black" w:eastAsia="Arial Black" w:hAnsi="Arial Black"/>
        <w:color w:val="4597a1"/>
        <w:sz w:val="18"/>
        <w:szCs w:val="18"/>
      </w:rPr>
    </w:pPr>
    <w:r w:rsidDel="00000000" w:rsidR="00000000" w:rsidRPr="00000000">
      <w:rPr>
        <w:rFonts w:ascii="Arial Black" w:cs="Arial Black" w:eastAsia="Arial Black" w:hAnsi="Arial Black"/>
        <w:color w:val="4597a1"/>
        <w:sz w:val="18"/>
        <w:szCs w:val="18"/>
        <w:rtl w:val="0"/>
      </w:rPr>
      <w:t xml:space="preserve">Protección de Datos Personales y Rendición de Cuentas de la Ciudad de México</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s-MX"/>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46244"/>
    <w:rPr>
      <w:rFonts w:ascii="Times New Roman" w:cs="Times New Roman" w:eastAsia="Times New Roman" w:hAnsi="Times New Roman"/>
      <w:lang w:eastAsia="es-ES_tradnl" w:val="es-MX"/>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deglobo">
    <w:name w:val="Balloon Text"/>
    <w:basedOn w:val="Normal"/>
    <w:link w:val="TextodegloboCar"/>
    <w:uiPriority w:val="99"/>
    <w:semiHidden w:val="1"/>
    <w:unhideWhenUsed w:val="1"/>
    <w:rsid w:val="00A8675A"/>
    <w:rPr>
      <w:sz w:val="18"/>
      <w:szCs w:val="18"/>
    </w:rPr>
  </w:style>
  <w:style w:type="character" w:styleId="TextodegloboCar" w:customStyle="1">
    <w:name w:val="Texto de globo Car"/>
    <w:basedOn w:val="Fuentedeprrafopredeter"/>
    <w:link w:val="Textodeglobo"/>
    <w:uiPriority w:val="99"/>
    <w:semiHidden w:val="1"/>
    <w:rsid w:val="00A8675A"/>
    <w:rPr>
      <w:rFonts w:ascii="Times New Roman" w:cs="Times New Roman" w:hAnsi="Times New Roman"/>
      <w:sz w:val="18"/>
      <w:szCs w:val="18"/>
    </w:rPr>
  </w:style>
  <w:style w:type="table" w:styleId="Tablaconcuadrcula">
    <w:name w:val="Table Grid"/>
    <w:basedOn w:val="Tablanormal"/>
    <w:uiPriority w:val="39"/>
    <w:rsid w:val="003603F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extodelmarcadordeposicin">
    <w:name w:val="Placeholder Text"/>
    <w:basedOn w:val="Fuentedeprrafopredeter"/>
    <w:uiPriority w:val="99"/>
    <w:semiHidden w:val="1"/>
    <w:rsid w:val="00CA16E9"/>
    <w:rPr>
      <w:color w:val="808080"/>
    </w:rPr>
  </w:style>
  <w:style w:type="paragraph" w:styleId="Prrafodelista">
    <w:name w:val="List Paragraph"/>
    <w:basedOn w:val="Normal"/>
    <w:uiPriority w:val="72"/>
    <w:qFormat w:val="1"/>
    <w:rsid w:val="00883802"/>
    <w:pPr>
      <w:ind w:left="720"/>
      <w:contextualSpacing w:val="1"/>
    </w:pPr>
  </w:style>
  <w:style w:type="paragraph" w:styleId="Encabezado">
    <w:name w:val="header"/>
    <w:basedOn w:val="Normal"/>
    <w:link w:val="EncabezadoCar"/>
    <w:unhideWhenUsed w:val="1"/>
    <w:rsid w:val="003A76B6"/>
    <w:pPr>
      <w:tabs>
        <w:tab w:val="center" w:pos="4419"/>
        <w:tab w:val="right" w:pos="8838"/>
      </w:tabs>
    </w:pPr>
  </w:style>
  <w:style w:type="character" w:styleId="EncabezadoCar" w:customStyle="1">
    <w:name w:val="Encabezado Car"/>
    <w:basedOn w:val="Fuentedeprrafopredeter"/>
    <w:link w:val="Encabezado"/>
    <w:rsid w:val="003A76B6"/>
    <w:rPr>
      <w:rFonts w:ascii="Times New Roman" w:cs="Times New Roman" w:eastAsia="Times New Roman" w:hAnsi="Times New Roman"/>
      <w:lang w:eastAsia="es-ES_tradnl" w:val="es-MX"/>
    </w:rPr>
  </w:style>
  <w:style w:type="paragraph" w:styleId="Piedepgina">
    <w:name w:val="footer"/>
    <w:basedOn w:val="Normal"/>
    <w:link w:val="PiedepginaCar"/>
    <w:uiPriority w:val="99"/>
    <w:unhideWhenUsed w:val="1"/>
    <w:rsid w:val="003A76B6"/>
    <w:pPr>
      <w:tabs>
        <w:tab w:val="center" w:pos="4419"/>
        <w:tab w:val="right" w:pos="8838"/>
      </w:tabs>
    </w:pPr>
  </w:style>
  <w:style w:type="character" w:styleId="PiedepginaCar" w:customStyle="1">
    <w:name w:val="Pie de página Car"/>
    <w:basedOn w:val="Fuentedeprrafopredeter"/>
    <w:link w:val="Piedepgina"/>
    <w:uiPriority w:val="99"/>
    <w:rsid w:val="003A76B6"/>
    <w:rPr>
      <w:rFonts w:ascii="Times New Roman" w:cs="Times New Roman" w:eastAsia="Times New Roman" w:hAnsi="Times New Roman"/>
      <w:lang w:eastAsia="es-ES_tradnl" w:val="es-MX"/>
    </w:rPr>
  </w:style>
  <w:style w:type="character" w:styleId="Hipervnculo">
    <w:name w:val="Hyperlink"/>
    <w:basedOn w:val="Fuentedeprrafopredeter"/>
    <w:uiPriority w:val="99"/>
    <w:unhideWhenUsed w:val="1"/>
    <w:rsid w:val="005B264E"/>
    <w:rPr>
      <w:color w:val="0563c1" w:themeColor="hyperlink"/>
      <w:u w:val="single"/>
    </w:rPr>
  </w:style>
  <w:style w:type="character" w:styleId="Refdecomentario">
    <w:name w:val="annotation reference"/>
    <w:basedOn w:val="Fuentedeprrafopredeter"/>
    <w:uiPriority w:val="99"/>
    <w:semiHidden w:val="1"/>
    <w:unhideWhenUsed w:val="1"/>
    <w:rsid w:val="00935359"/>
    <w:rPr>
      <w:sz w:val="16"/>
      <w:szCs w:val="16"/>
    </w:rPr>
  </w:style>
  <w:style w:type="paragraph" w:styleId="Textocomentario">
    <w:name w:val="annotation text"/>
    <w:basedOn w:val="Normal"/>
    <w:link w:val="TextocomentarioCar"/>
    <w:uiPriority w:val="99"/>
    <w:semiHidden w:val="1"/>
    <w:unhideWhenUsed w:val="1"/>
    <w:rsid w:val="00935359"/>
    <w:rPr>
      <w:sz w:val="20"/>
      <w:szCs w:val="20"/>
    </w:rPr>
  </w:style>
  <w:style w:type="character" w:styleId="TextocomentarioCar" w:customStyle="1">
    <w:name w:val="Texto comentario Car"/>
    <w:basedOn w:val="Fuentedeprrafopredeter"/>
    <w:link w:val="Textocomentario"/>
    <w:uiPriority w:val="99"/>
    <w:semiHidden w:val="1"/>
    <w:rsid w:val="00935359"/>
    <w:rPr>
      <w:rFonts w:ascii="Times New Roman" w:cs="Times New Roman" w:eastAsia="Times New Roman" w:hAnsi="Times New Roman"/>
      <w:sz w:val="20"/>
      <w:szCs w:val="20"/>
      <w:lang w:eastAsia="es-ES_tradnl" w:val="es-MX"/>
    </w:rPr>
  </w:style>
  <w:style w:type="paragraph" w:styleId="Asuntodelcomentario">
    <w:name w:val="annotation subject"/>
    <w:basedOn w:val="Textocomentario"/>
    <w:next w:val="Textocomentario"/>
    <w:link w:val="AsuntodelcomentarioCar"/>
    <w:uiPriority w:val="99"/>
    <w:semiHidden w:val="1"/>
    <w:unhideWhenUsed w:val="1"/>
    <w:rsid w:val="00935359"/>
    <w:rPr>
      <w:b w:val="1"/>
      <w:bCs w:val="1"/>
    </w:rPr>
  </w:style>
  <w:style w:type="character" w:styleId="AsuntodelcomentarioCar" w:customStyle="1">
    <w:name w:val="Asunto del comentario Car"/>
    <w:basedOn w:val="TextocomentarioCar"/>
    <w:link w:val="Asuntodelcomentario"/>
    <w:uiPriority w:val="99"/>
    <w:semiHidden w:val="1"/>
    <w:rsid w:val="00935359"/>
    <w:rPr>
      <w:rFonts w:ascii="Times New Roman" w:cs="Times New Roman" w:eastAsia="Times New Roman" w:hAnsi="Times New Roman"/>
      <w:b w:val="1"/>
      <w:bCs w:val="1"/>
      <w:sz w:val="20"/>
      <w:szCs w:val="20"/>
      <w:lang w:eastAsia="es-ES_tradnl" w:val="es-MX"/>
    </w:rPr>
  </w:style>
  <w:style w:type="paragraph" w:styleId="Textonotapie">
    <w:name w:val="footnote text"/>
    <w:basedOn w:val="Normal"/>
    <w:link w:val="TextonotapieCar"/>
    <w:uiPriority w:val="99"/>
    <w:semiHidden w:val="1"/>
    <w:unhideWhenUsed w:val="1"/>
    <w:rsid w:val="00973080"/>
    <w:rPr>
      <w:rFonts w:asciiTheme="minorHAnsi" w:cstheme="minorBidi" w:eastAsiaTheme="minorHAnsi" w:hAnsiTheme="minorHAnsi"/>
      <w:sz w:val="20"/>
      <w:szCs w:val="20"/>
      <w:lang w:eastAsia="en-US" w:val="es-ES"/>
    </w:rPr>
  </w:style>
  <w:style w:type="character" w:styleId="TextonotapieCar" w:customStyle="1">
    <w:name w:val="Texto nota pie Car"/>
    <w:basedOn w:val="Fuentedeprrafopredeter"/>
    <w:link w:val="Textonotapie"/>
    <w:uiPriority w:val="99"/>
    <w:semiHidden w:val="1"/>
    <w:rsid w:val="00973080"/>
    <w:rPr>
      <w:sz w:val="20"/>
      <w:szCs w:val="20"/>
      <w:lang w:val="es-ES"/>
    </w:rPr>
  </w:style>
  <w:style w:type="character" w:styleId="Refdenotaalpie">
    <w:name w:val="footnote reference"/>
    <w:basedOn w:val="Fuentedeprrafopredeter"/>
    <w:uiPriority w:val="99"/>
    <w:semiHidden w:val="1"/>
    <w:unhideWhenUsed w:val="1"/>
    <w:rsid w:val="00973080"/>
    <w:rPr>
      <w:vertAlign w:val="superscript"/>
    </w:rPr>
  </w:style>
  <w:style w:type="character" w:styleId="Hipervnculovisitado">
    <w:name w:val="FollowedHyperlink"/>
    <w:basedOn w:val="Fuentedeprrafopredeter"/>
    <w:uiPriority w:val="99"/>
    <w:semiHidden w:val="1"/>
    <w:unhideWhenUsed w:val="1"/>
    <w:rsid w:val="00973080"/>
    <w:rPr>
      <w:color w:val="954f72" w:themeColor="followedHyperlink"/>
      <w:u w:val="single"/>
    </w:rPr>
  </w:style>
  <w:style w:type="character" w:styleId="Mencinsinresolver">
    <w:name w:val="Unresolved Mention"/>
    <w:basedOn w:val="Fuentedeprrafopredeter"/>
    <w:uiPriority w:val="99"/>
    <w:semiHidden w:val="1"/>
    <w:unhideWhenUsed w:val="1"/>
    <w:rsid w:val="00973080"/>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drive.google.com/drive/u/1/folders/1kSC10QZRUGa9t8Ys0YqBTRLXnDQuGH9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infocdmx.org.mx/reconstruccionabiertaCDMX20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lkQM4H7dp9+k/WRK90IXBRPlnZg==">AMUW2mWdUNY9r7LlSx05vdZqEu2q6z6IiPHUj4FkmWWhJVJSGvqd+4V3hbXGNfb2a54A3Vi37ym2yNefN8XtzfTyQazO6I/jObaetuwZPu78EXdbGcdKEleg7ZMmfPThLTOhQWiACHxWQqsT7nE3Eo7VVVhTZ60zaw==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2020-09-04T00:40:00Z</dcterms:created>
  <dc:creator>Sonia Quintana</dc:creator>
</cp:coreProperties>
</file>